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158D" w14:textId="77777777" w:rsidR="000E172C" w:rsidRPr="00DF2D2A" w:rsidRDefault="00000000">
      <w:pPr>
        <w:spacing w:after="60"/>
        <w:rPr>
          <w:sz w:val="13"/>
          <w:szCs w:val="13"/>
        </w:rPr>
      </w:pPr>
      <w:r w:rsidRPr="00DF2D2A">
        <w:rPr>
          <w:b/>
          <w:bCs/>
          <w:color w:val="002FA7"/>
          <w:spacing w:val="80"/>
          <w:sz w:val="52"/>
          <w:szCs w:val="52"/>
        </w:rPr>
        <w:t>JACK HAYDON</w:t>
      </w:r>
    </w:p>
    <w:p w14:paraId="6C64F4AB" w14:textId="51136D18" w:rsidR="00B560F0" w:rsidRDefault="00000000">
      <w:pPr>
        <w:rPr>
          <w:color w:val="222222"/>
          <w:sz w:val="17"/>
          <w:szCs w:val="17"/>
        </w:rPr>
      </w:pPr>
      <w:r>
        <w:rPr>
          <w:color w:val="222222"/>
          <w:sz w:val="17"/>
          <w:szCs w:val="17"/>
        </w:rPr>
        <w:t>+44 7454 737 158   ·   jackrhysmansel@gmail.com   ·   jackhaydon.me   ·   linkedin.com/in/jack-</w:t>
      </w:r>
      <w:proofErr w:type="spellStart"/>
      <w:r>
        <w:rPr>
          <w:color w:val="222222"/>
          <w:sz w:val="17"/>
          <w:szCs w:val="17"/>
        </w:rPr>
        <w:t>haydon</w:t>
      </w:r>
      <w:proofErr w:type="spellEnd"/>
      <w:r>
        <w:rPr>
          <w:color w:val="222222"/>
          <w:sz w:val="17"/>
          <w:szCs w:val="17"/>
        </w:rPr>
        <w:t>-pro</w:t>
      </w:r>
    </w:p>
    <w:p w14:paraId="5B7ABEE7" w14:textId="693C707D" w:rsidR="00A66A80" w:rsidRDefault="00A66A80">
      <w:pPr>
        <w:pBdr>
          <w:bottom w:val="single" w:sz="4" w:space="4" w:color="E8E8E8"/>
        </w:pBdr>
        <w:spacing w:before="200" w:after="80"/>
        <w:rPr>
          <w:rFonts w:eastAsia="Times New Roman" w:cs="Times New Roman"/>
        </w:rPr>
      </w:pPr>
      <w:r w:rsidRPr="00A66A80">
        <w:rPr>
          <w:rFonts w:eastAsia="Times New Roman" w:cs="Times New Roman"/>
        </w:rPr>
        <w:t xml:space="preserve">Senior service designer, content designer &amp; experience strategist </w:t>
      </w:r>
      <w:r>
        <w:rPr>
          <w:rFonts w:eastAsia="Times New Roman" w:cs="Times New Roman"/>
        </w:rPr>
        <w:t>in</w:t>
      </w:r>
      <w:r w:rsidRPr="00A66A80">
        <w:rPr>
          <w:rFonts w:eastAsia="Times New Roman" w:cs="Times New Roman"/>
        </w:rPr>
        <w:t xml:space="preserve"> public</w:t>
      </w:r>
      <w:r w:rsidR="00214F1A">
        <w:rPr>
          <w:rFonts w:eastAsia="Times New Roman" w:cs="Times New Roman"/>
        </w:rPr>
        <w:t xml:space="preserve">, </w:t>
      </w:r>
      <w:r w:rsidR="00214F1A" w:rsidRPr="00A66A80">
        <w:rPr>
          <w:rFonts w:eastAsia="Times New Roman" w:cs="Times New Roman"/>
        </w:rPr>
        <w:t>humanitarian</w:t>
      </w:r>
      <w:r w:rsidR="00B20B5B">
        <w:rPr>
          <w:rFonts w:eastAsia="Times New Roman" w:cs="Times New Roman"/>
        </w:rPr>
        <w:t xml:space="preserve"> and</w:t>
      </w:r>
      <w:r w:rsidRPr="00A66A80">
        <w:rPr>
          <w:rFonts w:eastAsia="Times New Roman" w:cs="Times New Roman"/>
        </w:rPr>
        <w:t xml:space="preserve"> commercial </w:t>
      </w:r>
      <w:r w:rsidR="00214F1A" w:rsidRPr="00A66A80">
        <w:rPr>
          <w:rFonts w:eastAsia="Times New Roman" w:cs="Times New Roman"/>
        </w:rPr>
        <w:t>sect</w:t>
      </w:r>
      <w:r w:rsidR="00214F1A">
        <w:rPr>
          <w:rFonts w:eastAsia="Times New Roman" w:cs="Times New Roman"/>
        </w:rPr>
        <w:t xml:space="preserve">or </w:t>
      </w:r>
      <w:r w:rsidRPr="00A66A80">
        <w:rPr>
          <w:rFonts w:eastAsia="Times New Roman" w:cs="Times New Roman"/>
        </w:rPr>
        <w:t>contexts</w:t>
      </w:r>
      <w:r>
        <w:rPr>
          <w:rFonts w:eastAsia="Times New Roman" w:cs="Times New Roman"/>
        </w:rPr>
        <w:t>.</w:t>
      </w:r>
    </w:p>
    <w:p w14:paraId="34325B8E" w14:textId="2872E9A9" w:rsidR="000E172C" w:rsidRDefault="00000000">
      <w:pPr>
        <w:pBdr>
          <w:bottom w:val="single" w:sz="4" w:space="4" w:color="E8E8E8"/>
        </w:pBdr>
        <w:spacing w:before="200" w:after="80"/>
      </w:pPr>
      <w:r>
        <w:rPr>
          <w:b/>
          <w:bCs/>
          <w:color w:val="002FA7"/>
          <w:spacing w:val="80"/>
        </w:rPr>
        <w:t>EXPERIENCE</w:t>
      </w:r>
    </w:p>
    <w:p w14:paraId="0AEF35E6" w14:textId="77777777" w:rsidR="000E172C" w:rsidRDefault="00000000">
      <w:pPr>
        <w:tabs>
          <w:tab w:val="right" w:pos="9906"/>
        </w:tabs>
        <w:spacing w:before="140" w:after="16"/>
      </w:pPr>
      <w:r>
        <w:rPr>
          <w:b/>
          <w:bCs/>
          <w:sz w:val="22"/>
          <w:szCs w:val="22"/>
        </w:rPr>
        <w:t>Global Experience &amp; Insights Section Manager</w:t>
      </w:r>
      <w:r>
        <w:tab/>
      </w:r>
      <w:r>
        <w:rPr>
          <w:color w:val="6B6B6B"/>
          <w:sz w:val="17"/>
          <w:szCs w:val="17"/>
        </w:rPr>
        <w:t>2023 — 2025</w:t>
      </w:r>
    </w:p>
    <w:p w14:paraId="15F36DD5" w14:textId="77311A81" w:rsidR="000E172C" w:rsidRDefault="00000000">
      <w:pPr>
        <w:spacing w:after="60"/>
      </w:pPr>
      <w:r>
        <w:rPr>
          <w:color w:val="6B6B6B"/>
          <w:sz w:val="17"/>
          <w:szCs w:val="17"/>
        </w:rPr>
        <w:t>Nissan Energy</w:t>
      </w:r>
      <w:r w:rsidR="004F1075">
        <w:rPr>
          <w:color w:val="6B6B6B"/>
          <w:sz w:val="17"/>
          <w:szCs w:val="17"/>
        </w:rPr>
        <w:t>,</w:t>
      </w:r>
      <w:r>
        <w:rPr>
          <w:color w:val="6B6B6B"/>
          <w:sz w:val="17"/>
          <w:szCs w:val="17"/>
        </w:rPr>
        <w:t xml:space="preserve"> Centre for Customer Experience, Research &amp; Transformation</w:t>
      </w:r>
    </w:p>
    <w:p w14:paraId="28CF0026" w14:textId="7528A8DE" w:rsidR="006341DB" w:rsidRPr="006341DB" w:rsidRDefault="006341DB">
      <w:pPr>
        <w:pStyle w:val="ListParagraph"/>
        <w:numPr>
          <w:ilvl w:val="0"/>
          <w:numId w:val="2"/>
        </w:numPr>
        <w:spacing w:before="16" w:line="268" w:lineRule="auto"/>
      </w:pPr>
      <w:r w:rsidRPr="006341DB">
        <w:rPr>
          <w:sz w:val="15"/>
          <w:szCs w:val="15"/>
        </w:rPr>
        <w:t>Established Nissan's first unified global customer journey, anchored in jobs-to-be-done. Facilitated cross-functional, multi-market workshops to align strategy around customer needs</w:t>
      </w:r>
      <w:r>
        <w:rPr>
          <w:sz w:val="15"/>
          <w:szCs w:val="15"/>
        </w:rPr>
        <w:t xml:space="preserve">; </w:t>
      </w:r>
      <w:r w:rsidRPr="006341DB">
        <w:rPr>
          <w:sz w:val="15"/>
          <w:szCs w:val="15"/>
        </w:rPr>
        <w:t>bridging global intent with local market reality.</w:t>
      </w:r>
    </w:p>
    <w:p w14:paraId="4F392C3C" w14:textId="7517B02F" w:rsidR="00016B85" w:rsidRPr="00016B85" w:rsidRDefault="00016B85">
      <w:pPr>
        <w:pStyle w:val="ListParagraph"/>
        <w:numPr>
          <w:ilvl w:val="0"/>
          <w:numId w:val="2"/>
        </w:numPr>
        <w:spacing w:before="16" w:line="268" w:lineRule="auto"/>
      </w:pPr>
      <w:r>
        <w:rPr>
          <w:sz w:val="15"/>
          <w:szCs w:val="15"/>
        </w:rPr>
        <w:t>Led service design, content and UX on</w:t>
      </w:r>
      <w:r w:rsidRPr="00016B85">
        <w:rPr>
          <w:sz w:val="15"/>
          <w:szCs w:val="15"/>
        </w:rPr>
        <w:t xml:space="preserve"> Nissan's Vehicle-to-Grid renewable energy product</w:t>
      </w:r>
      <w:r>
        <w:rPr>
          <w:sz w:val="15"/>
          <w:szCs w:val="15"/>
        </w:rPr>
        <w:t>.</w:t>
      </w:r>
      <w:r w:rsidR="00775274">
        <w:rPr>
          <w:sz w:val="15"/>
          <w:szCs w:val="15"/>
        </w:rPr>
        <w:t xml:space="preserve"> </w:t>
      </w:r>
      <w:r w:rsidR="00775274">
        <w:rPr>
          <w:sz w:val="15"/>
          <w:szCs w:val="15"/>
        </w:rPr>
        <w:t>Tr</w:t>
      </w:r>
      <w:r w:rsidR="00775274" w:rsidRPr="00775274">
        <w:rPr>
          <w:sz w:val="15"/>
          <w:szCs w:val="15"/>
        </w:rPr>
        <w:t>anslated conflicting stakeholder priorities across three regions into a single service blueprint</w:t>
      </w:r>
      <w:r w:rsidR="00775274">
        <w:rPr>
          <w:sz w:val="15"/>
          <w:szCs w:val="15"/>
        </w:rPr>
        <w:t>.</w:t>
      </w:r>
      <w:r>
        <w:rPr>
          <w:sz w:val="15"/>
          <w:szCs w:val="15"/>
        </w:rPr>
        <w:t xml:space="preserve"> </w:t>
      </w:r>
      <w:r w:rsidR="009D5C0C">
        <w:rPr>
          <w:sz w:val="15"/>
          <w:szCs w:val="15"/>
        </w:rPr>
        <w:t>From</w:t>
      </w:r>
      <w:r w:rsidRPr="00016B85">
        <w:rPr>
          <w:sz w:val="15"/>
          <w:szCs w:val="15"/>
        </w:rPr>
        <w:t xml:space="preserve"> internal pitch and field testing to confirmed 2026 launch across </w:t>
      </w:r>
      <w:r w:rsidR="009D5C0C">
        <w:rPr>
          <w:sz w:val="15"/>
          <w:szCs w:val="15"/>
        </w:rPr>
        <w:t xml:space="preserve">5 major </w:t>
      </w:r>
      <w:r w:rsidRPr="00016B85">
        <w:rPr>
          <w:sz w:val="15"/>
          <w:szCs w:val="15"/>
        </w:rPr>
        <w:t xml:space="preserve">European </w:t>
      </w:r>
      <w:r w:rsidRPr="00016B85">
        <w:rPr>
          <w:sz w:val="15"/>
          <w:szCs w:val="15"/>
        </w:rPr>
        <w:t>markets</w:t>
      </w:r>
      <w:r>
        <w:rPr>
          <w:sz w:val="15"/>
          <w:szCs w:val="15"/>
        </w:rPr>
        <w:t xml:space="preserve">, </w:t>
      </w:r>
      <w:r w:rsidRPr="00016B85">
        <w:rPr>
          <w:sz w:val="15"/>
          <w:szCs w:val="15"/>
        </w:rPr>
        <w:t>securing</w:t>
      </w:r>
      <w:r w:rsidRPr="00016B85">
        <w:rPr>
          <w:sz w:val="15"/>
          <w:szCs w:val="15"/>
        </w:rPr>
        <w:t xml:space="preserve"> CEO buy-in, multi-region investment, UK Government backing through the Advanced Propulsion Centre, and a place at the centre of Nissan's Ambition 2030 strategy</w:t>
      </w:r>
      <w:r>
        <w:rPr>
          <w:sz w:val="15"/>
          <w:szCs w:val="15"/>
        </w:rPr>
        <w:t>.</w:t>
      </w:r>
      <w:r w:rsidR="00775274">
        <w:rPr>
          <w:sz w:val="15"/>
          <w:szCs w:val="15"/>
        </w:rPr>
        <w:t xml:space="preserve"> </w:t>
      </w:r>
    </w:p>
    <w:p w14:paraId="299EB389" w14:textId="385A9549" w:rsidR="000C610E" w:rsidRPr="000C610E" w:rsidRDefault="00016B85" w:rsidP="000C610E">
      <w:pPr>
        <w:pStyle w:val="ListParagraph"/>
        <w:numPr>
          <w:ilvl w:val="0"/>
          <w:numId w:val="2"/>
        </w:numPr>
        <w:spacing w:before="20" w:after="20" w:line="280" w:lineRule="auto"/>
        <w:rPr>
          <w:sz w:val="15"/>
          <w:szCs w:val="15"/>
        </w:rPr>
      </w:pPr>
      <w:r w:rsidRPr="00016B85">
        <w:rPr>
          <w:sz w:val="15"/>
          <w:szCs w:val="15"/>
        </w:rPr>
        <w:t>Turned cross-cultural research with Japanese-speaking stakeholders into a service blueprint that became the foundation of Nissan's human-centred EV charging strategy</w:t>
      </w:r>
      <w:r>
        <w:rPr>
          <w:sz w:val="15"/>
          <w:szCs w:val="15"/>
        </w:rPr>
        <w:t>.</w:t>
      </w:r>
    </w:p>
    <w:p w14:paraId="458E87F2" w14:textId="3FAD1BF0" w:rsidR="00016B85" w:rsidRPr="00016B85" w:rsidRDefault="00016B85" w:rsidP="00016B85">
      <w:pPr>
        <w:pStyle w:val="ListParagraph"/>
        <w:numPr>
          <w:ilvl w:val="0"/>
          <w:numId w:val="2"/>
        </w:numPr>
        <w:spacing w:before="20" w:after="20" w:line="280" w:lineRule="auto"/>
        <w:rPr>
          <w:sz w:val="15"/>
          <w:szCs w:val="15"/>
        </w:rPr>
      </w:pPr>
      <w:r w:rsidRPr="00016B85">
        <w:rPr>
          <w:sz w:val="15"/>
          <w:szCs w:val="15"/>
        </w:rPr>
        <w:t xml:space="preserve">Founded an internal insights-literacy programme that </w:t>
      </w:r>
      <w:r>
        <w:rPr>
          <w:sz w:val="15"/>
          <w:szCs w:val="15"/>
        </w:rPr>
        <w:t>built</w:t>
      </w:r>
      <w:r w:rsidRPr="00016B85">
        <w:rPr>
          <w:sz w:val="15"/>
          <w:szCs w:val="15"/>
        </w:rPr>
        <w:t xml:space="preserve"> </w:t>
      </w:r>
      <w:r>
        <w:rPr>
          <w:sz w:val="15"/>
          <w:szCs w:val="15"/>
        </w:rPr>
        <w:t>research confidence</w:t>
      </w:r>
      <w:r w:rsidRPr="00016B85">
        <w:rPr>
          <w:sz w:val="15"/>
          <w:szCs w:val="15"/>
        </w:rPr>
        <w:t xml:space="preserve"> across non-analyst product and commercial teams.</w:t>
      </w:r>
    </w:p>
    <w:p w14:paraId="609AEA15" w14:textId="3663C559" w:rsidR="000E172C" w:rsidRDefault="00000000">
      <w:pPr>
        <w:tabs>
          <w:tab w:val="right" w:pos="9906"/>
        </w:tabs>
        <w:spacing w:before="130" w:after="16"/>
      </w:pPr>
      <w:r>
        <w:rPr>
          <w:b/>
          <w:bCs/>
          <w:sz w:val="20"/>
          <w:szCs w:val="20"/>
        </w:rPr>
        <w:t>Experience Strategist</w:t>
      </w:r>
      <w:r>
        <w:rPr>
          <w:color w:val="6B6B6B"/>
          <w:sz w:val="17"/>
          <w:szCs w:val="17"/>
        </w:rPr>
        <w:t xml:space="preserve">   2021–2023</w:t>
      </w:r>
      <w:r>
        <w:rPr>
          <w:b/>
          <w:bCs/>
          <w:sz w:val="20"/>
          <w:szCs w:val="20"/>
        </w:rPr>
        <w:t xml:space="preserve">     </w:t>
      </w:r>
      <w:r w:rsidRPr="003C5CB0">
        <w:rPr>
          <w:sz w:val="20"/>
          <w:szCs w:val="20"/>
        </w:rPr>
        <w:t xml:space="preserve"> </w:t>
      </w:r>
      <w:r w:rsidR="003C5CB0" w:rsidRPr="003C5CB0">
        <w:rPr>
          <w:color w:val="000000" w:themeColor="text1"/>
          <w:sz w:val="20"/>
          <w:szCs w:val="20"/>
        </w:rPr>
        <w:t xml:space="preserve">| </w:t>
      </w:r>
      <w:r w:rsidRPr="003C5CB0">
        <w:rPr>
          <w:color w:val="D9D9D9" w:themeColor="background1" w:themeShade="D9"/>
          <w:sz w:val="20"/>
          <w:szCs w:val="20"/>
        </w:rPr>
        <w:t xml:space="preserve"> </w:t>
      </w:r>
      <w:r w:rsidRPr="003C5CB0">
        <w:rPr>
          <w:b/>
          <w:bCs/>
          <w:color w:val="D9D9D9" w:themeColor="background1" w:themeShade="D9"/>
          <w:sz w:val="20"/>
          <w:szCs w:val="20"/>
        </w:rPr>
        <w:t xml:space="preserve"> </w:t>
      </w:r>
      <w:r w:rsidR="0001638A">
        <w:rPr>
          <w:b/>
          <w:bCs/>
          <w:color w:val="D9D9D9" w:themeColor="background1" w:themeShade="D9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Experience Designer</w:t>
      </w:r>
      <w:r>
        <w:rPr>
          <w:color w:val="6B6B6B"/>
          <w:sz w:val="17"/>
          <w:szCs w:val="17"/>
        </w:rPr>
        <w:t xml:space="preserve">   2019–2021</w:t>
      </w:r>
    </w:p>
    <w:p w14:paraId="32131E2B" w14:textId="77777777" w:rsidR="000E172C" w:rsidRDefault="00000000">
      <w:pPr>
        <w:spacing w:after="60"/>
      </w:pPr>
      <w:r>
        <w:rPr>
          <w:color w:val="6B6B6B"/>
          <w:sz w:val="17"/>
          <w:szCs w:val="17"/>
        </w:rPr>
        <w:t>Nissan Centre for Customer Experience, Research &amp; Transformation</w:t>
      </w:r>
    </w:p>
    <w:p w14:paraId="227918BC" w14:textId="40F9C092" w:rsidR="000E172C" w:rsidRDefault="00000000">
      <w:pPr>
        <w:pStyle w:val="ListParagraph"/>
        <w:numPr>
          <w:ilvl w:val="0"/>
          <w:numId w:val="2"/>
        </w:numPr>
        <w:spacing w:before="16" w:after="16" w:line="268" w:lineRule="auto"/>
      </w:pPr>
      <w:r>
        <w:rPr>
          <w:sz w:val="15"/>
          <w:szCs w:val="15"/>
        </w:rPr>
        <w:t xml:space="preserve">Shaped Nissan’s global electrification strategy through primary research and regional workshops; </w:t>
      </w:r>
      <w:r w:rsidR="00773D29">
        <w:rPr>
          <w:sz w:val="15"/>
          <w:szCs w:val="15"/>
        </w:rPr>
        <w:t xml:space="preserve">subsequent </w:t>
      </w:r>
      <w:r>
        <w:rPr>
          <w:sz w:val="15"/>
          <w:szCs w:val="15"/>
        </w:rPr>
        <w:t xml:space="preserve">omnichannel recommendations adopted by Europe and South America </w:t>
      </w:r>
      <w:r w:rsidR="00773D29">
        <w:rPr>
          <w:sz w:val="15"/>
          <w:szCs w:val="15"/>
        </w:rPr>
        <w:t>markets, producing experiences that simplify EVs and ease the transition from traditional petrol vehicles.</w:t>
      </w:r>
    </w:p>
    <w:p w14:paraId="1AB6B838" w14:textId="77777777" w:rsidR="000E172C" w:rsidRDefault="00000000">
      <w:pPr>
        <w:pStyle w:val="ListParagraph"/>
        <w:numPr>
          <w:ilvl w:val="0"/>
          <w:numId w:val="2"/>
        </w:numPr>
        <w:spacing w:before="16" w:after="16" w:line="268" w:lineRule="auto"/>
      </w:pPr>
      <w:r>
        <w:rPr>
          <w:sz w:val="15"/>
          <w:szCs w:val="15"/>
        </w:rPr>
        <w:t xml:space="preserve">Led strategy, UX and content for </w:t>
      </w:r>
      <w:proofErr w:type="spellStart"/>
      <w:r>
        <w:rPr>
          <w:sz w:val="15"/>
          <w:szCs w:val="15"/>
        </w:rPr>
        <w:t>Nissan@Home</w:t>
      </w:r>
      <w:proofErr w:type="spellEnd"/>
      <w:r>
        <w:rPr>
          <w:sz w:val="15"/>
          <w:szCs w:val="15"/>
        </w:rPr>
        <w:t>, localising offline services online across markets during and after the pandemic; tactics remain operational today.</w:t>
      </w:r>
    </w:p>
    <w:p w14:paraId="6EC6009A" w14:textId="77777777" w:rsidR="000E172C" w:rsidRPr="004F1075" w:rsidRDefault="00000000">
      <w:pPr>
        <w:pStyle w:val="ListParagraph"/>
        <w:numPr>
          <w:ilvl w:val="0"/>
          <w:numId w:val="2"/>
        </w:numPr>
        <w:spacing w:before="16" w:line="268" w:lineRule="auto"/>
      </w:pPr>
      <w:r>
        <w:rPr>
          <w:sz w:val="15"/>
          <w:szCs w:val="15"/>
        </w:rPr>
        <w:t>Redesigned Nissan’s next-generation onboard vehicle interface; established the first global copywriting and content design guidelines; authored the Autonomous Driving Passenger Experience Strategy.</w:t>
      </w:r>
    </w:p>
    <w:p w14:paraId="34CFE70C" w14:textId="5FA9484A" w:rsidR="004F1075" w:rsidRDefault="004F1075" w:rsidP="004F1075">
      <w:pPr>
        <w:pStyle w:val="ListParagraph"/>
        <w:numPr>
          <w:ilvl w:val="0"/>
          <w:numId w:val="2"/>
        </w:numPr>
        <w:spacing w:before="20" w:after="20" w:line="280" w:lineRule="auto"/>
        <w:rPr>
          <w:sz w:val="15"/>
          <w:szCs w:val="15"/>
        </w:rPr>
      </w:pPr>
      <w:r w:rsidRPr="004F1075">
        <w:rPr>
          <w:sz w:val="15"/>
          <w:szCs w:val="15"/>
        </w:rPr>
        <w:t xml:space="preserve">Designed the ‘Guided Learning’ onboarding experience. helping new owners realise EV features. </w:t>
      </w:r>
      <w:r w:rsidR="00773D29">
        <w:rPr>
          <w:sz w:val="15"/>
          <w:szCs w:val="15"/>
        </w:rPr>
        <w:t>Traffic to these pages increased 300%</w:t>
      </w:r>
      <w:r w:rsidRPr="004F1075">
        <w:rPr>
          <w:sz w:val="15"/>
          <w:szCs w:val="15"/>
        </w:rPr>
        <w:t>.</w:t>
      </w:r>
    </w:p>
    <w:p w14:paraId="3833F2FC" w14:textId="056730CF" w:rsidR="004F1075" w:rsidRDefault="004F1075" w:rsidP="004F1075">
      <w:pPr>
        <w:pStyle w:val="ListParagraph"/>
        <w:numPr>
          <w:ilvl w:val="0"/>
          <w:numId w:val="2"/>
        </w:numPr>
        <w:spacing w:before="20" w:after="20" w:line="280" w:lineRule="auto"/>
        <w:rPr>
          <w:sz w:val="15"/>
          <w:szCs w:val="15"/>
        </w:rPr>
      </w:pPr>
      <w:r w:rsidRPr="004F1075">
        <w:rPr>
          <w:sz w:val="15"/>
          <w:szCs w:val="15"/>
        </w:rPr>
        <w:t>Established Nissan’s first global copywriting and content design guidelines, raising in-house literacy in user-centred writing.</w:t>
      </w:r>
    </w:p>
    <w:p w14:paraId="58ECE422" w14:textId="65786D75" w:rsidR="004F1075" w:rsidRPr="004F1075" w:rsidRDefault="004F1075" w:rsidP="004F1075">
      <w:pPr>
        <w:pStyle w:val="ListParagraph"/>
        <w:numPr>
          <w:ilvl w:val="0"/>
          <w:numId w:val="2"/>
        </w:numPr>
        <w:spacing w:before="20" w:after="20" w:line="280" w:lineRule="auto"/>
        <w:rPr>
          <w:sz w:val="15"/>
          <w:szCs w:val="15"/>
        </w:rPr>
      </w:pPr>
      <w:r w:rsidRPr="004F1075">
        <w:rPr>
          <w:sz w:val="15"/>
          <w:szCs w:val="15"/>
        </w:rPr>
        <w:t xml:space="preserve">Designed an iPad-based sales assistant deployed across the dealer </w:t>
      </w:r>
      <w:r w:rsidRPr="004F1075">
        <w:rPr>
          <w:sz w:val="15"/>
          <w:szCs w:val="15"/>
        </w:rPr>
        <w:t>network,</w:t>
      </w:r>
      <w:r>
        <w:rPr>
          <w:sz w:val="15"/>
          <w:szCs w:val="15"/>
        </w:rPr>
        <w:t xml:space="preserve"> reducing physical paper costs by ~</w:t>
      </w:r>
      <w:r w:rsidRPr="004F1075">
        <w:t xml:space="preserve"> </w:t>
      </w:r>
      <w:r w:rsidRPr="004F1075">
        <w:rPr>
          <w:sz w:val="15"/>
          <w:szCs w:val="15"/>
        </w:rPr>
        <w:t>£</w:t>
      </w:r>
      <w:r>
        <w:rPr>
          <w:sz w:val="15"/>
          <w:szCs w:val="15"/>
        </w:rPr>
        <w:t>130,000 in its first year.</w:t>
      </w:r>
    </w:p>
    <w:p w14:paraId="3D11FFFE" w14:textId="4FECDB1C" w:rsidR="000E172C" w:rsidRDefault="00000000">
      <w:pPr>
        <w:tabs>
          <w:tab w:val="right" w:pos="9906"/>
        </w:tabs>
        <w:spacing w:before="140" w:after="16"/>
      </w:pPr>
      <w:r>
        <w:rPr>
          <w:b/>
          <w:bCs/>
          <w:sz w:val="22"/>
          <w:szCs w:val="22"/>
        </w:rPr>
        <w:t>UX &amp; Content Specialist</w:t>
      </w:r>
      <w:r>
        <w:tab/>
      </w:r>
      <w:r>
        <w:rPr>
          <w:color w:val="6B6B6B"/>
          <w:sz w:val="17"/>
          <w:szCs w:val="17"/>
        </w:rPr>
        <w:t>2017 —2019</w:t>
      </w:r>
    </w:p>
    <w:p w14:paraId="76968A43" w14:textId="77777777" w:rsidR="000E172C" w:rsidRDefault="00000000">
      <w:pPr>
        <w:spacing w:after="60"/>
      </w:pPr>
      <w:r>
        <w:rPr>
          <w:color w:val="6B6B6B"/>
          <w:sz w:val="17"/>
          <w:szCs w:val="17"/>
        </w:rPr>
        <w:t>Save the Children UK</w:t>
      </w:r>
    </w:p>
    <w:p w14:paraId="08432820" w14:textId="57C9E5FA" w:rsidR="000E172C" w:rsidRPr="004F1075" w:rsidRDefault="00000000">
      <w:pPr>
        <w:pStyle w:val="ListParagraph"/>
        <w:numPr>
          <w:ilvl w:val="0"/>
          <w:numId w:val="2"/>
        </w:numPr>
        <w:spacing w:before="16" w:after="16" w:line="268" w:lineRule="auto"/>
        <w:rPr>
          <w:sz w:val="15"/>
          <w:szCs w:val="15"/>
        </w:rPr>
      </w:pPr>
      <w:r w:rsidRPr="004F1075">
        <w:rPr>
          <w:sz w:val="15"/>
          <w:szCs w:val="15"/>
        </w:rPr>
        <w:t>Researched and designed Save the Children’s core supporter personas from ~300 supporter interviews; six audience types adopted across fundraising, campaigns and brand, printed and embedded in culture.</w:t>
      </w:r>
    </w:p>
    <w:p w14:paraId="0F090A07" w14:textId="0BB90B15" w:rsidR="004F1075" w:rsidRPr="004F1075" w:rsidRDefault="004F1075" w:rsidP="004F1075">
      <w:pPr>
        <w:pStyle w:val="ListParagraph"/>
        <w:numPr>
          <w:ilvl w:val="0"/>
          <w:numId w:val="2"/>
        </w:numPr>
        <w:spacing w:before="20" w:after="20" w:line="280" w:lineRule="auto"/>
        <w:rPr>
          <w:sz w:val="15"/>
          <w:szCs w:val="15"/>
        </w:rPr>
      </w:pPr>
      <w:r w:rsidRPr="004F1075">
        <w:rPr>
          <w:sz w:val="15"/>
          <w:szCs w:val="15"/>
        </w:rPr>
        <w:t>Embedded regular in-house user research and scenario testing; ran content and digital experience backlogs as accredited Scrum Master</w:t>
      </w:r>
      <w:r w:rsidR="00DE5FB6">
        <w:rPr>
          <w:sz w:val="15"/>
          <w:szCs w:val="15"/>
        </w:rPr>
        <w:t>.</w:t>
      </w:r>
    </w:p>
    <w:p w14:paraId="136709CD" w14:textId="759AE045" w:rsidR="000E172C" w:rsidRPr="004F1075" w:rsidRDefault="004A730F">
      <w:pPr>
        <w:pStyle w:val="ListParagraph"/>
        <w:numPr>
          <w:ilvl w:val="0"/>
          <w:numId w:val="2"/>
        </w:numPr>
        <w:spacing w:before="16" w:line="268" w:lineRule="auto"/>
        <w:rPr>
          <w:sz w:val="15"/>
          <w:szCs w:val="15"/>
        </w:rPr>
      </w:pPr>
      <w:r>
        <w:rPr>
          <w:sz w:val="15"/>
          <w:szCs w:val="15"/>
        </w:rPr>
        <w:t xml:space="preserve">Designed user-centred digital products, including </w:t>
      </w:r>
      <w:proofErr w:type="gramStart"/>
      <w:r w:rsidR="00DE5FB6">
        <w:rPr>
          <w:sz w:val="15"/>
          <w:szCs w:val="15"/>
        </w:rPr>
        <w:t>an</w:t>
      </w:r>
      <w:proofErr w:type="gramEnd"/>
      <w:r w:rsidR="00000000" w:rsidRPr="004F1075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Donation </w:t>
      </w:r>
      <w:r w:rsidR="00000000" w:rsidRPr="004F1075">
        <w:rPr>
          <w:sz w:val="15"/>
          <w:szCs w:val="15"/>
        </w:rPr>
        <w:t>Impact Calculator</w:t>
      </w:r>
      <w:r>
        <w:rPr>
          <w:sz w:val="15"/>
          <w:szCs w:val="15"/>
        </w:rPr>
        <w:t xml:space="preserve">, </w:t>
      </w:r>
      <w:r w:rsidR="00000000" w:rsidRPr="004F1075">
        <w:rPr>
          <w:sz w:val="15"/>
          <w:szCs w:val="15"/>
        </w:rPr>
        <w:t xml:space="preserve">increasing donation frequency by </w:t>
      </w:r>
      <w:r w:rsidR="00776466">
        <w:rPr>
          <w:sz w:val="15"/>
          <w:szCs w:val="15"/>
        </w:rPr>
        <w:t>23</w:t>
      </w:r>
      <w:r w:rsidR="00000000" w:rsidRPr="004F1075">
        <w:rPr>
          <w:sz w:val="15"/>
          <w:szCs w:val="15"/>
        </w:rPr>
        <w:t xml:space="preserve">% and average single-donation value by 40%. </w:t>
      </w:r>
      <w:r>
        <w:rPr>
          <w:sz w:val="15"/>
          <w:szCs w:val="15"/>
        </w:rPr>
        <w:t>Deployed on</w:t>
      </w:r>
      <w:r w:rsidR="00000000" w:rsidRPr="004F1075">
        <w:rPr>
          <w:sz w:val="15"/>
          <w:szCs w:val="15"/>
        </w:rPr>
        <w:t xml:space="preserve"> field reporting </w:t>
      </w:r>
      <w:r w:rsidR="009E4003">
        <w:rPr>
          <w:sz w:val="15"/>
          <w:szCs w:val="15"/>
        </w:rPr>
        <w:t xml:space="preserve">and content gathering </w:t>
      </w:r>
      <w:r w:rsidR="00000000" w:rsidRPr="004F1075">
        <w:rPr>
          <w:sz w:val="15"/>
          <w:szCs w:val="15"/>
        </w:rPr>
        <w:t>trips to Liberia and the DR</w:t>
      </w:r>
      <w:r w:rsidR="004F1075" w:rsidRPr="004F1075">
        <w:rPr>
          <w:sz w:val="15"/>
          <w:szCs w:val="15"/>
        </w:rPr>
        <w:t>C</w:t>
      </w:r>
      <w:r w:rsidR="009E4003">
        <w:rPr>
          <w:sz w:val="15"/>
          <w:szCs w:val="15"/>
        </w:rPr>
        <w:t xml:space="preserve">, working with </w:t>
      </w:r>
      <w:r>
        <w:rPr>
          <w:sz w:val="15"/>
          <w:szCs w:val="15"/>
        </w:rPr>
        <w:t xml:space="preserve">staff, children and </w:t>
      </w:r>
      <w:r w:rsidR="0015311F">
        <w:rPr>
          <w:sz w:val="15"/>
          <w:szCs w:val="15"/>
        </w:rPr>
        <w:t>families.</w:t>
      </w:r>
      <w:r w:rsidR="009E4003">
        <w:rPr>
          <w:sz w:val="15"/>
          <w:szCs w:val="15"/>
        </w:rPr>
        <w:t xml:space="preserve"> </w:t>
      </w:r>
    </w:p>
    <w:p w14:paraId="68ADA0F3" w14:textId="39E41EB5" w:rsidR="004F1075" w:rsidRPr="004F1075" w:rsidRDefault="004F1075" w:rsidP="004F1075">
      <w:pPr>
        <w:pStyle w:val="ListParagraph"/>
        <w:numPr>
          <w:ilvl w:val="0"/>
          <w:numId w:val="2"/>
        </w:numPr>
        <w:spacing w:before="16" w:after="16" w:line="268" w:lineRule="auto"/>
        <w:rPr>
          <w:sz w:val="15"/>
          <w:szCs w:val="15"/>
        </w:rPr>
      </w:pPr>
      <w:r w:rsidRPr="004F1075">
        <w:rPr>
          <w:sz w:val="15"/>
          <w:szCs w:val="15"/>
        </w:rPr>
        <w:t xml:space="preserve">Co-led the capability-building strand of Save the Children's digital transformation programme, designed and delivered Adobe AEM training to 250+ staff across fundraising, campaigning and country offices, reducing dependency on the central digital team and embedding distributed content ownership. </w:t>
      </w:r>
    </w:p>
    <w:p w14:paraId="72EFBD75" w14:textId="7E1A77D3" w:rsidR="000E172C" w:rsidRDefault="00000000">
      <w:pPr>
        <w:tabs>
          <w:tab w:val="right" w:pos="9906"/>
        </w:tabs>
        <w:spacing w:before="140" w:after="16"/>
      </w:pPr>
      <w:r>
        <w:rPr>
          <w:b/>
          <w:bCs/>
          <w:sz w:val="22"/>
          <w:szCs w:val="22"/>
        </w:rPr>
        <w:t>Content Editor</w:t>
      </w:r>
      <w:r>
        <w:tab/>
      </w:r>
      <w:r>
        <w:rPr>
          <w:color w:val="6B6B6B"/>
          <w:sz w:val="17"/>
          <w:szCs w:val="17"/>
        </w:rPr>
        <w:t>2013 —2016</w:t>
      </w:r>
    </w:p>
    <w:p w14:paraId="72443659" w14:textId="77777777" w:rsidR="000E172C" w:rsidRDefault="00000000">
      <w:pPr>
        <w:spacing w:after="60"/>
      </w:pPr>
      <w:r>
        <w:rPr>
          <w:color w:val="6B6B6B"/>
          <w:sz w:val="17"/>
          <w:szCs w:val="17"/>
        </w:rPr>
        <w:t>NHS / Great Ormond Street Hospital Charity</w:t>
      </w:r>
    </w:p>
    <w:p w14:paraId="3DE5F67C" w14:textId="2895800A" w:rsidR="000E172C" w:rsidRDefault="00000000">
      <w:pPr>
        <w:pStyle w:val="ListParagraph"/>
        <w:numPr>
          <w:ilvl w:val="0"/>
          <w:numId w:val="2"/>
        </w:numPr>
        <w:spacing w:before="16" w:after="16" w:line="268" w:lineRule="auto"/>
      </w:pPr>
      <w:r>
        <w:rPr>
          <w:sz w:val="15"/>
          <w:szCs w:val="15"/>
        </w:rPr>
        <w:t xml:space="preserve">Product Owner of the GOSH Charity and Hospital websites, leading SEO, UX and content strategy across donation flows, </w:t>
      </w:r>
      <w:r w:rsidR="003C5CB0">
        <w:rPr>
          <w:sz w:val="15"/>
          <w:szCs w:val="15"/>
        </w:rPr>
        <w:t xml:space="preserve">medical procedures and conditions </w:t>
      </w:r>
      <w:r>
        <w:rPr>
          <w:sz w:val="15"/>
          <w:szCs w:val="15"/>
        </w:rPr>
        <w:t>information</w:t>
      </w:r>
      <w:r w:rsidR="003C5CB0">
        <w:rPr>
          <w:sz w:val="15"/>
          <w:szCs w:val="15"/>
        </w:rPr>
        <w:t xml:space="preserve"> content for patients and families</w:t>
      </w:r>
      <w:r w:rsidR="009E4003">
        <w:rPr>
          <w:sz w:val="15"/>
          <w:szCs w:val="15"/>
        </w:rPr>
        <w:t xml:space="preserve"> navigating serious illness. Designed features and improvements that had photography and film at its heart. </w:t>
      </w:r>
      <w:r w:rsidR="009E4003" w:rsidRPr="009E4003">
        <w:rPr>
          <w:sz w:val="15"/>
          <w:szCs w:val="15"/>
        </w:rPr>
        <w:t xml:space="preserve">Led service design for donate platform redesign targeting conversion uplift and </w:t>
      </w:r>
      <w:r w:rsidR="00DE5FB6">
        <w:rPr>
          <w:sz w:val="15"/>
          <w:szCs w:val="15"/>
        </w:rPr>
        <w:t>regular</w:t>
      </w:r>
      <w:r w:rsidR="009E4003" w:rsidRPr="009E4003">
        <w:rPr>
          <w:sz w:val="15"/>
          <w:szCs w:val="15"/>
        </w:rPr>
        <w:t xml:space="preserve"> giving</w:t>
      </w:r>
      <w:r w:rsidR="00DE5FB6">
        <w:rPr>
          <w:sz w:val="15"/>
          <w:szCs w:val="15"/>
        </w:rPr>
        <w:t>,</w:t>
      </w:r>
      <w:r w:rsidR="009E4003">
        <w:rPr>
          <w:sz w:val="15"/>
          <w:szCs w:val="15"/>
        </w:rPr>
        <w:t xml:space="preserve"> contributing to a </w:t>
      </w:r>
      <w:r w:rsidR="00DE5FB6">
        <w:rPr>
          <w:sz w:val="15"/>
          <w:szCs w:val="15"/>
        </w:rPr>
        <w:t>35% increase in donations.</w:t>
      </w:r>
    </w:p>
    <w:p w14:paraId="3A2DBA28" w14:textId="4965A31F" w:rsidR="000E172C" w:rsidRPr="003C5CB0" w:rsidRDefault="00000000">
      <w:pPr>
        <w:pStyle w:val="ListParagraph"/>
        <w:numPr>
          <w:ilvl w:val="0"/>
          <w:numId w:val="2"/>
        </w:numPr>
        <w:spacing w:before="16" w:line="268" w:lineRule="auto"/>
      </w:pPr>
      <w:r>
        <w:rPr>
          <w:sz w:val="15"/>
          <w:szCs w:val="15"/>
        </w:rPr>
        <w:t>Led the content workstream of GOSH’s Drupal platform migration; built editorial governance for safeguarding-sensitive content</w:t>
      </w:r>
      <w:r w:rsidR="003C5CB0">
        <w:rPr>
          <w:sz w:val="15"/>
          <w:szCs w:val="15"/>
        </w:rPr>
        <w:t>.</w:t>
      </w:r>
    </w:p>
    <w:p w14:paraId="5437DA23" w14:textId="72185700" w:rsidR="003C5CB0" w:rsidRPr="003C5CB0" w:rsidRDefault="003C5CB0" w:rsidP="003C5CB0">
      <w:pPr>
        <w:pStyle w:val="ListParagraph"/>
        <w:numPr>
          <w:ilvl w:val="0"/>
          <w:numId w:val="2"/>
        </w:numPr>
        <w:spacing w:before="16" w:line="268" w:lineRule="auto"/>
        <w:rPr>
          <w:sz w:val="15"/>
          <w:szCs w:val="15"/>
        </w:rPr>
      </w:pPr>
      <w:r w:rsidRPr="003C5CB0">
        <w:rPr>
          <w:sz w:val="15"/>
          <w:szCs w:val="15"/>
        </w:rPr>
        <w:t>Produced multi-format content across film, photography, publications, podcasts and blogs, commissioned by teams across both the charity and the hospital</w:t>
      </w:r>
      <w:r>
        <w:rPr>
          <w:sz w:val="15"/>
          <w:szCs w:val="15"/>
        </w:rPr>
        <w:t>;</w:t>
      </w:r>
      <w:r w:rsidRPr="003C5CB0">
        <w:rPr>
          <w:sz w:val="15"/>
          <w:szCs w:val="15"/>
        </w:rPr>
        <w:t xml:space="preserve"> </w:t>
      </w:r>
      <w:r>
        <w:rPr>
          <w:sz w:val="15"/>
          <w:szCs w:val="15"/>
        </w:rPr>
        <w:t>line-managed two editors and a freelance network.</w:t>
      </w:r>
    </w:p>
    <w:p w14:paraId="074B5279" w14:textId="77777777" w:rsidR="000E172C" w:rsidRDefault="00000000">
      <w:pPr>
        <w:spacing w:before="130" w:after="30"/>
      </w:pPr>
      <w:r>
        <w:rPr>
          <w:b/>
          <w:bCs/>
          <w:color w:val="002FA7"/>
          <w:spacing w:val="60"/>
          <w:sz w:val="16"/>
          <w:szCs w:val="16"/>
        </w:rPr>
        <w:t>EARLIER ROLES</w:t>
      </w:r>
    </w:p>
    <w:p w14:paraId="6FA79970" w14:textId="126422B8" w:rsidR="000E172C" w:rsidRDefault="00000000">
      <w:r>
        <w:rPr>
          <w:b/>
          <w:bCs/>
          <w:sz w:val="15"/>
          <w:szCs w:val="15"/>
        </w:rPr>
        <w:t>Press Officer</w:t>
      </w:r>
      <w:r>
        <w:rPr>
          <w:sz w:val="15"/>
          <w:szCs w:val="15"/>
        </w:rPr>
        <w:t>, Tibet</w:t>
      </w:r>
      <w:r w:rsidR="00776466">
        <w:rPr>
          <w:sz w:val="15"/>
          <w:szCs w:val="15"/>
        </w:rPr>
        <w:t xml:space="preserve"> Watch NGO </w:t>
      </w:r>
      <w:r>
        <w:rPr>
          <w:sz w:val="15"/>
          <w:szCs w:val="15"/>
        </w:rPr>
        <w:t>(2010–2012</w:t>
      </w:r>
      <w:proofErr w:type="gramStart"/>
      <w:r>
        <w:rPr>
          <w:sz w:val="15"/>
          <w:szCs w:val="15"/>
        </w:rPr>
        <w:t>)  ·</w:t>
      </w:r>
      <w:proofErr w:type="gramEnd"/>
      <w:r>
        <w:rPr>
          <w:sz w:val="15"/>
          <w:szCs w:val="15"/>
        </w:rPr>
        <w:t xml:space="preserve">  </w:t>
      </w:r>
      <w:r>
        <w:rPr>
          <w:b/>
          <w:bCs/>
          <w:sz w:val="15"/>
          <w:szCs w:val="15"/>
        </w:rPr>
        <w:t>Sports Reporter</w:t>
      </w:r>
      <w:r>
        <w:rPr>
          <w:sz w:val="15"/>
          <w:szCs w:val="15"/>
        </w:rPr>
        <w:t>, Associated Press (2011–2012</w:t>
      </w:r>
      <w:proofErr w:type="gramStart"/>
      <w:r>
        <w:rPr>
          <w:sz w:val="15"/>
          <w:szCs w:val="15"/>
        </w:rPr>
        <w:t>)  ·</w:t>
      </w:r>
      <w:proofErr w:type="gramEnd"/>
      <w:r>
        <w:rPr>
          <w:sz w:val="15"/>
          <w:szCs w:val="15"/>
        </w:rPr>
        <w:t xml:space="preserve">  </w:t>
      </w:r>
      <w:r>
        <w:rPr>
          <w:b/>
          <w:bCs/>
          <w:sz w:val="15"/>
          <w:szCs w:val="15"/>
        </w:rPr>
        <w:t>Digital Design Intern</w:t>
      </w:r>
      <w:r>
        <w:rPr>
          <w:sz w:val="15"/>
          <w:szCs w:val="15"/>
        </w:rPr>
        <w:t>, Draw Design, Covent Garden (2009–2010)</w:t>
      </w:r>
    </w:p>
    <w:p w14:paraId="0BB64158" w14:textId="77777777" w:rsidR="000E172C" w:rsidRDefault="00000000">
      <w:pPr>
        <w:pBdr>
          <w:bottom w:val="single" w:sz="4" w:space="4" w:color="E8E8E8"/>
        </w:pBdr>
        <w:spacing w:before="200" w:after="80"/>
      </w:pPr>
      <w:r>
        <w:rPr>
          <w:b/>
          <w:bCs/>
          <w:color w:val="002FA7"/>
          <w:spacing w:val="80"/>
        </w:rPr>
        <w:t>EDUCATION &amp; CREDENTIALS</w:t>
      </w:r>
    </w:p>
    <w:p w14:paraId="69F596C5" w14:textId="2FFF81DD" w:rsidR="000E172C" w:rsidRDefault="00000000">
      <w:pPr>
        <w:tabs>
          <w:tab w:val="right" w:pos="9906"/>
        </w:tabs>
        <w:spacing w:before="60" w:after="14"/>
      </w:pPr>
      <w:r>
        <w:rPr>
          <w:b/>
          <w:bCs/>
        </w:rPr>
        <w:t>MA, Research Architecture — Visual Cultures</w:t>
      </w:r>
      <w:r>
        <w:tab/>
      </w:r>
      <w:r>
        <w:rPr>
          <w:color w:val="6B6B6B"/>
          <w:sz w:val="17"/>
          <w:szCs w:val="17"/>
        </w:rPr>
        <w:t>2025</w:t>
      </w:r>
      <w:r w:rsidR="003C5CB0">
        <w:rPr>
          <w:color w:val="6B6B6B"/>
          <w:sz w:val="17"/>
          <w:szCs w:val="17"/>
        </w:rPr>
        <w:t>–2026</w:t>
      </w:r>
      <w:r>
        <w:rPr>
          <w:color w:val="6B6B6B"/>
          <w:sz w:val="17"/>
          <w:szCs w:val="17"/>
        </w:rPr>
        <w:t xml:space="preserve"> </w:t>
      </w:r>
    </w:p>
    <w:p w14:paraId="0DA6008D" w14:textId="77777777" w:rsidR="000E172C" w:rsidRDefault="00000000">
      <w:pPr>
        <w:spacing w:after="50"/>
      </w:pPr>
      <w:r>
        <w:rPr>
          <w:color w:val="6B6B6B"/>
          <w:sz w:val="17"/>
          <w:szCs w:val="17"/>
        </w:rPr>
        <w:t>Goldsmiths, University of London</w:t>
      </w:r>
    </w:p>
    <w:p w14:paraId="346FD3CD" w14:textId="77777777" w:rsidR="000E172C" w:rsidRDefault="00000000">
      <w:pPr>
        <w:tabs>
          <w:tab w:val="right" w:pos="9906"/>
        </w:tabs>
        <w:spacing w:before="40" w:after="14"/>
      </w:pPr>
      <w:r>
        <w:rPr>
          <w:b/>
          <w:bCs/>
        </w:rPr>
        <w:t>BA, Religion, Philosophy &amp; Ethics</w:t>
      </w:r>
      <w:r>
        <w:tab/>
      </w:r>
      <w:r>
        <w:rPr>
          <w:color w:val="6B6B6B"/>
          <w:sz w:val="17"/>
          <w:szCs w:val="17"/>
        </w:rPr>
        <w:t>2008 — 2011</w:t>
      </w:r>
    </w:p>
    <w:p w14:paraId="411D2A40" w14:textId="77777777" w:rsidR="000E172C" w:rsidRDefault="00000000">
      <w:pPr>
        <w:spacing w:after="50"/>
      </w:pPr>
      <w:r>
        <w:rPr>
          <w:color w:val="6B6B6B"/>
          <w:sz w:val="17"/>
          <w:szCs w:val="17"/>
        </w:rPr>
        <w:t>University of Gloucestershire</w:t>
      </w:r>
    </w:p>
    <w:p w14:paraId="16EABDBB" w14:textId="77777777" w:rsidR="000E172C" w:rsidRDefault="00000000">
      <w:pPr>
        <w:spacing w:before="40"/>
      </w:pPr>
      <w:r>
        <w:rPr>
          <w:b/>
          <w:bCs/>
          <w:sz w:val="16"/>
          <w:szCs w:val="16"/>
        </w:rPr>
        <w:t xml:space="preserve">Certifications &amp; </w:t>
      </w:r>
      <w:proofErr w:type="gramStart"/>
      <w:r>
        <w:rPr>
          <w:b/>
          <w:bCs/>
          <w:sz w:val="16"/>
          <w:szCs w:val="16"/>
        </w:rPr>
        <w:t>Training  —</w:t>
      </w:r>
      <w:proofErr w:type="gramEnd"/>
      <w:r>
        <w:rPr>
          <w:b/>
          <w:bCs/>
          <w:sz w:val="16"/>
          <w:szCs w:val="16"/>
        </w:rPr>
        <w:t xml:space="preserve">  </w:t>
      </w:r>
      <w:r>
        <w:rPr>
          <w:sz w:val="16"/>
          <w:szCs w:val="16"/>
        </w:rPr>
        <w:t xml:space="preserve">Certified </w:t>
      </w:r>
      <w:proofErr w:type="spellStart"/>
      <w:r>
        <w:rPr>
          <w:sz w:val="16"/>
          <w:szCs w:val="16"/>
        </w:rPr>
        <w:t>SAFe</w:t>
      </w:r>
      <w:proofErr w:type="spellEnd"/>
      <w:r>
        <w:rPr>
          <w:sz w:val="16"/>
          <w:szCs w:val="16"/>
        </w:rPr>
        <w:t>® Agilist (2023</w:t>
      </w:r>
      <w:proofErr w:type="gramStart"/>
      <w:r>
        <w:rPr>
          <w:sz w:val="16"/>
          <w:szCs w:val="16"/>
        </w:rPr>
        <w:t>)  ·</w:t>
      </w:r>
      <w:proofErr w:type="gramEnd"/>
      <w:r>
        <w:rPr>
          <w:sz w:val="16"/>
          <w:szCs w:val="16"/>
        </w:rPr>
        <w:t xml:space="preserve">  Data &amp; Insights for Business Decisions, Multiverse (2025</w:t>
      </w:r>
      <w:proofErr w:type="gramStart"/>
      <w:r>
        <w:rPr>
          <w:sz w:val="16"/>
          <w:szCs w:val="16"/>
        </w:rPr>
        <w:t>)  ·</w:t>
      </w:r>
      <w:proofErr w:type="gramEnd"/>
      <w:r>
        <w:rPr>
          <w:sz w:val="16"/>
          <w:szCs w:val="16"/>
        </w:rPr>
        <w:t xml:space="preserve">  UX Design Circuit, General Assembly (2018</w:t>
      </w:r>
      <w:proofErr w:type="gramStart"/>
      <w:r>
        <w:rPr>
          <w:sz w:val="16"/>
          <w:szCs w:val="16"/>
        </w:rPr>
        <w:t>)  ·</w:t>
      </w:r>
      <w:proofErr w:type="gramEnd"/>
      <w:r>
        <w:rPr>
          <w:sz w:val="16"/>
          <w:szCs w:val="16"/>
        </w:rPr>
        <w:t xml:space="preserve">  Scrum Master, Agile 8 (2017)</w:t>
      </w:r>
    </w:p>
    <w:p w14:paraId="286763B9" w14:textId="77777777" w:rsidR="00016B85" w:rsidRDefault="00016B85">
      <w:pPr>
        <w:pBdr>
          <w:bottom w:val="single" w:sz="4" w:space="4" w:color="E8E8E8"/>
        </w:pBdr>
        <w:spacing w:before="200" w:after="80"/>
        <w:rPr>
          <w:b/>
          <w:bCs/>
          <w:color w:val="002FA7"/>
          <w:spacing w:val="80"/>
        </w:rPr>
      </w:pPr>
    </w:p>
    <w:p w14:paraId="63F0F8EF" w14:textId="77777777" w:rsidR="00016B85" w:rsidRDefault="00016B85">
      <w:pPr>
        <w:pBdr>
          <w:bottom w:val="single" w:sz="4" w:space="4" w:color="E8E8E8"/>
        </w:pBdr>
        <w:spacing w:before="200" w:after="80"/>
        <w:rPr>
          <w:b/>
          <w:bCs/>
          <w:color w:val="002FA7"/>
          <w:spacing w:val="80"/>
        </w:rPr>
      </w:pPr>
    </w:p>
    <w:p w14:paraId="467D78AA" w14:textId="21696914" w:rsidR="000E172C" w:rsidRDefault="00000000">
      <w:pPr>
        <w:pBdr>
          <w:bottom w:val="single" w:sz="4" w:space="4" w:color="E8E8E8"/>
        </w:pBdr>
        <w:spacing w:before="200" w:after="80"/>
      </w:pPr>
      <w:r>
        <w:rPr>
          <w:b/>
          <w:bCs/>
          <w:color w:val="002FA7"/>
          <w:spacing w:val="80"/>
        </w:rPr>
        <w:lastRenderedPageBreak/>
        <w:t>SKILLS &amp; SOFTWARE</w:t>
      </w:r>
    </w:p>
    <w:p w14:paraId="568AE168" w14:textId="77777777" w:rsidR="000E172C" w:rsidRDefault="00000000">
      <w:pPr>
        <w:spacing w:before="60" w:after="40"/>
      </w:pPr>
      <w:proofErr w:type="gramStart"/>
      <w:r>
        <w:rPr>
          <w:color w:val="333333"/>
          <w:sz w:val="16"/>
          <w:szCs w:val="16"/>
        </w:rPr>
        <w:t>Figma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spellStart"/>
      <w:proofErr w:type="gramStart"/>
      <w:r>
        <w:rPr>
          <w:color w:val="333333"/>
          <w:sz w:val="16"/>
          <w:szCs w:val="16"/>
        </w:rPr>
        <w:t>FigJam</w:t>
      </w:r>
      <w:proofErr w:type="spellEnd"/>
      <w:r>
        <w:rPr>
          <w:color w:val="333333"/>
          <w:sz w:val="16"/>
          <w:szCs w:val="16"/>
        </w:rPr>
        <w:t xml:space="preserve">  ·</w:t>
      </w:r>
      <w:proofErr w:type="gramEnd"/>
      <w:r>
        <w:rPr>
          <w:color w:val="333333"/>
          <w:sz w:val="16"/>
          <w:szCs w:val="16"/>
        </w:rPr>
        <w:t xml:space="preserve">  Axure </w:t>
      </w:r>
      <w:proofErr w:type="gramStart"/>
      <w:r>
        <w:rPr>
          <w:color w:val="333333"/>
          <w:sz w:val="16"/>
          <w:szCs w:val="16"/>
        </w:rPr>
        <w:t>RP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Miro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InVision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Sketch  ·</w:t>
      </w:r>
      <w:proofErr w:type="gramEnd"/>
      <w:r>
        <w:rPr>
          <w:color w:val="333333"/>
          <w:sz w:val="16"/>
          <w:szCs w:val="16"/>
        </w:rPr>
        <w:t xml:space="preserve">  Adobe </w:t>
      </w:r>
      <w:proofErr w:type="gramStart"/>
      <w:r>
        <w:rPr>
          <w:color w:val="333333"/>
          <w:sz w:val="16"/>
          <w:szCs w:val="16"/>
        </w:rPr>
        <w:t>Analytics  ·</w:t>
      </w:r>
      <w:proofErr w:type="gramEnd"/>
      <w:r>
        <w:rPr>
          <w:color w:val="333333"/>
          <w:sz w:val="16"/>
          <w:szCs w:val="16"/>
        </w:rPr>
        <w:t xml:space="preserve">  Google </w:t>
      </w:r>
      <w:proofErr w:type="gramStart"/>
      <w:r>
        <w:rPr>
          <w:color w:val="333333"/>
          <w:sz w:val="16"/>
          <w:szCs w:val="16"/>
        </w:rPr>
        <w:t>Analytics  ·</w:t>
      </w:r>
      <w:proofErr w:type="gramEnd"/>
      <w:r>
        <w:rPr>
          <w:color w:val="333333"/>
          <w:sz w:val="16"/>
          <w:szCs w:val="16"/>
        </w:rPr>
        <w:t xml:space="preserve">  Power </w:t>
      </w:r>
      <w:proofErr w:type="gramStart"/>
      <w:r>
        <w:rPr>
          <w:color w:val="333333"/>
          <w:sz w:val="16"/>
          <w:szCs w:val="16"/>
        </w:rPr>
        <w:t>BI  ·</w:t>
      </w:r>
      <w:proofErr w:type="gramEnd"/>
      <w:r>
        <w:rPr>
          <w:color w:val="333333"/>
          <w:sz w:val="16"/>
          <w:szCs w:val="16"/>
        </w:rPr>
        <w:t xml:space="preserve">  Optimal </w:t>
      </w:r>
      <w:proofErr w:type="gramStart"/>
      <w:r>
        <w:rPr>
          <w:color w:val="333333"/>
          <w:sz w:val="16"/>
          <w:szCs w:val="16"/>
        </w:rPr>
        <w:t>Workshop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spellStart"/>
      <w:proofErr w:type="gramStart"/>
      <w:r>
        <w:rPr>
          <w:color w:val="333333"/>
          <w:sz w:val="16"/>
          <w:szCs w:val="16"/>
        </w:rPr>
        <w:t>Treejack</w:t>
      </w:r>
      <w:proofErr w:type="spellEnd"/>
      <w:r>
        <w:rPr>
          <w:color w:val="333333"/>
          <w:sz w:val="16"/>
          <w:szCs w:val="16"/>
        </w:rPr>
        <w:t xml:space="preserve">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Optimizely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QGIS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Photoshop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Illustrator  ·</w:t>
      </w:r>
      <w:proofErr w:type="gramEnd"/>
      <w:r>
        <w:rPr>
          <w:color w:val="333333"/>
          <w:sz w:val="16"/>
          <w:szCs w:val="16"/>
        </w:rPr>
        <w:t xml:space="preserve">  After </w:t>
      </w:r>
      <w:proofErr w:type="gramStart"/>
      <w:r>
        <w:rPr>
          <w:color w:val="333333"/>
          <w:sz w:val="16"/>
          <w:szCs w:val="16"/>
        </w:rPr>
        <w:t>Effects  ·</w:t>
      </w:r>
      <w:proofErr w:type="gramEnd"/>
      <w:r>
        <w:rPr>
          <w:color w:val="333333"/>
          <w:sz w:val="16"/>
          <w:szCs w:val="16"/>
        </w:rPr>
        <w:t xml:space="preserve">  Premiere </w:t>
      </w:r>
      <w:proofErr w:type="gramStart"/>
      <w:r>
        <w:rPr>
          <w:color w:val="333333"/>
          <w:sz w:val="16"/>
          <w:szCs w:val="16"/>
        </w:rPr>
        <w:t>Pro  ·</w:t>
      </w:r>
      <w:proofErr w:type="gramEnd"/>
      <w:r>
        <w:rPr>
          <w:color w:val="333333"/>
          <w:sz w:val="16"/>
          <w:szCs w:val="16"/>
        </w:rPr>
        <w:t xml:space="preserve">  Blender 3</w:t>
      </w:r>
      <w:proofErr w:type="gramStart"/>
      <w:r>
        <w:rPr>
          <w:color w:val="333333"/>
          <w:sz w:val="16"/>
          <w:szCs w:val="16"/>
        </w:rPr>
        <w:t>D  ·</w:t>
      </w:r>
      <w:proofErr w:type="gramEnd"/>
      <w:r>
        <w:rPr>
          <w:color w:val="333333"/>
          <w:sz w:val="16"/>
          <w:szCs w:val="16"/>
        </w:rPr>
        <w:t xml:space="preserve">  Unreal </w:t>
      </w:r>
      <w:proofErr w:type="gramStart"/>
      <w:r>
        <w:rPr>
          <w:color w:val="333333"/>
          <w:sz w:val="16"/>
          <w:szCs w:val="16"/>
        </w:rPr>
        <w:t>Engine  ·</w:t>
      </w:r>
      <w:proofErr w:type="gramEnd"/>
      <w:r>
        <w:rPr>
          <w:color w:val="333333"/>
          <w:sz w:val="16"/>
          <w:szCs w:val="16"/>
        </w:rPr>
        <w:t xml:space="preserve">  Adobe Experience </w:t>
      </w:r>
      <w:proofErr w:type="gramStart"/>
      <w:r>
        <w:rPr>
          <w:color w:val="333333"/>
          <w:sz w:val="16"/>
          <w:szCs w:val="16"/>
        </w:rPr>
        <w:t>Manager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Drupal  ·</w:t>
      </w:r>
      <w:proofErr w:type="gramEnd"/>
      <w:r>
        <w:rPr>
          <w:color w:val="333333"/>
          <w:sz w:val="16"/>
          <w:szCs w:val="16"/>
        </w:rPr>
        <w:t xml:space="preserve">  </w:t>
      </w:r>
      <w:proofErr w:type="gramStart"/>
      <w:r>
        <w:rPr>
          <w:color w:val="333333"/>
          <w:sz w:val="16"/>
          <w:szCs w:val="16"/>
        </w:rPr>
        <w:t>WordPress  ·</w:t>
      </w:r>
      <w:proofErr w:type="gramEnd"/>
      <w:r>
        <w:rPr>
          <w:color w:val="333333"/>
          <w:sz w:val="16"/>
          <w:szCs w:val="16"/>
        </w:rPr>
        <w:t xml:space="preserve">  Mailchimp</w:t>
      </w:r>
    </w:p>
    <w:p w14:paraId="28F62FD8" w14:textId="77777777" w:rsidR="000E172C" w:rsidRDefault="00000000">
      <w:pPr>
        <w:spacing w:before="30"/>
      </w:pPr>
      <w:r>
        <w:rPr>
          <w:color w:val="6B6B6B"/>
          <w:sz w:val="15"/>
          <w:szCs w:val="15"/>
        </w:rPr>
        <w:t>Referrals available on request.</w:t>
      </w:r>
    </w:p>
    <w:sectPr w:rsidR="000E172C">
      <w:pgSz w:w="11906" w:h="16838"/>
      <w:pgMar w:top="800" w:right="1000" w:bottom="72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452"/>
    <w:multiLevelType w:val="hybridMultilevel"/>
    <w:tmpl w:val="060AEAC8"/>
    <w:lvl w:ilvl="0" w:tplc="7A4C541A">
      <w:start w:val="1"/>
      <w:numFmt w:val="bullet"/>
      <w:lvlText w:val="●"/>
      <w:lvlJc w:val="left"/>
      <w:pPr>
        <w:ind w:left="720" w:hanging="360"/>
      </w:pPr>
    </w:lvl>
    <w:lvl w:ilvl="1" w:tplc="C0EEE2B8">
      <w:start w:val="1"/>
      <w:numFmt w:val="bullet"/>
      <w:lvlText w:val="○"/>
      <w:lvlJc w:val="left"/>
      <w:pPr>
        <w:ind w:left="1440" w:hanging="360"/>
      </w:pPr>
    </w:lvl>
    <w:lvl w:ilvl="2" w:tplc="4854494C">
      <w:start w:val="1"/>
      <w:numFmt w:val="bullet"/>
      <w:lvlText w:val="■"/>
      <w:lvlJc w:val="left"/>
      <w:pPr>
        <w:ind w:left="2160" w:hanging="360"/>
      </w:pPr>
    </w:lvl>
    <w:lvl w:ilvl="3" w:tplc="4C1AF344">
      <w:start w:val="1"/>
      <w:numFmt w:val="bullet"/>
      <w:lvlText w:val="●"/>
      <w:lvlJc w:val="left"/>
      <w:pPr>
        <w:ind w:left="2880" w:hanging="360"/>
      </w:pPr>
    </w:lvl>
    <w:lvl w:ilvl="4" w:tplc="0316A760">
      <w:start w:val="1"/>
      <w:numFmt w:val="bullet"/>
      <w:lvlText w:val="○"/>
      <w:lvlJc w:val="left"/>
      <w:pPr>
        <w:ind w:left="3600" w:hanging="360"/>
      </w:pPr>
    </w:lvl>
    <w:lvl w:ilvl="5" w:tplc="8CFC03C2">
      <w:start w:val="1"/>
      <w:numFmt w:val="bullet"/>
      <w:lvlText w:val="■"/>
      <w:lvlJc w:val="left"/>
      <w:pPr>
        <w:ind w:left="4320" w:hanging="360"/>
      </w:pPr>
    </w:lvl>
    <w:lvl w:ilvl="6" w:tplc="8B3C0D88">
      <w:start w:val="1"/>
      <w:numFmt w:val="bullet"/>
      <w:lvlText w:val="●"/>
      <w:lvlJc w:val="left"/>
      <w:pPr>
        <w:ind w:left="5040" w:hanging="360"/>
      </w:pPr>
    </w:lvl>
    <w:lvl w:ilvl="7" w:tplc="60C86A0A">
      <w:start w:val="1"/>
      <w:numFmt w:val="bullet"/>
      <w:lvlText w:val="●"/>
      <w:lvlJc w:val="left"/>
      <w:pPr>
        <w:ind w:left="5760" w:hanging="360"/>
      </w:pPr>
    </w:lvl>
    <w:lvl w:ilvl="8" w:tplc="92BA6F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DA68AF"/>
    <w:multiLevelType w:val="hybridMultilevel"/>
    <w:tmpl w:val="A212155C"/>
    <w:lvl w:ilvl="0" w:tplc="F2D20F26">
      <w:start w:val="1"/>
      <w:numFmt w:val="bullet"/>
      <w:lvlText w:val="●"/>
      <w:lvlJc w:val="left"/>
      <w:pPr>
        <w:ind w:left="720" w:hanging="360"/>
      </w:pPr>
    </w:lvl>
    <w:lvl w:ilvl="1" w:tplc="ABF696F0">
      <w:start w:val="1"/>
      <w:numFmt w:val="bullet"/>
      <w:lvlText w:val="○"/>
      <w:lvlJc w:val="left"/>
      <w:pPr>
        <w:ind w:left="1440" w:hanging="360"/>
      </w:pPr>
    </w:lvl>
    <w:lvl w:ilvl="2" w:tplc="DD407B2A">
      <w:start w:val="1"/>
      <w:numFmt w:val="bullet"/>
      <w:lvlText w:val="■"/>
      <w:lvlJc w:val="left"/>
      <w:pPr>
        <w:ind w:left="2160" w:hanging="360"/>
      </w:pPr>
    </w:lvl>
    <w:lvl w:ilvl="3" w:tplc="71F2C1FE">
      <w:start w:val="1"/>
      <w:numFmt w:val="bullet"/>
      <w:lvlText w:val="●"/>
      <w:lvlJc w:val="left"/>
      <w:pPr>
        <w:ind w:left="2880" w:hanging="360"/>
      </w:pPr>
    </w:lvl>
    <w:lvl w:ilvl="4" w:tplc="DAB262A2">
      <w:start w:val="1"/>
      <w:numFmt w:val="bullet"/>
      <w:lvlText w:val="○"/>
      <w:lvlJc w:val="left"/>
      <w:pPr>
        <w:ind w:left="3600" w:hanging="360"/>
      </w:pPr>
    </w:lvl>
    <w:lvl w:ilvl="5" w:tplc="3C227324">
      <w:start w:val="1"/>
      <w:numFmt w:val="bullet"/>
      <w:lvlText w:val="■"/>
      <w:lvlJc w:val="left"/>
      <w:pPr>
        <w:ind w:left="4320" w:hanging="360"/>
      </w:pPr>
    </w:lvl>
    <w:lvl w:ilvl="6" w:tplc="B706FD56">
      <w:start w:val="1"/>
      <w:numFmt w:val="bullet"/>
      <w:lvlText w:val="●"/>
      <w:lvlJc w:val="left"/>
      <w:pPr>
        <w:ind w:left="5040" w:hanging="360"/>
      </w:pPr>
    </w:lvl>
    <w:lvl w:ilvl="7" w:tplc="62D85FAE">
      <w:start w:val="1"/>
      <w:numFmt w:val="bullet"/>
      <w:lvlText w:val="●"/>
      <w:lvlJc w:val="left"/>
      <w:pPr>
        <w:ind w:left="5760" w:hanging="360"/>
      </w:pPr>
    </w:lvl>
    <w:lvl w:ilvl="8" w:tplc="1A1E60F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2AD4123"/>
    <w:multiLevelType w:val="hybridMultilevel"/>
    <w:tmpl w:val="445CF108"/>
    <w:lvl w:ilvl="0" w:tplc="60D0641C">
      <w:start w:val="1"/>
      <w:numFmt w:val="bullet"/>
      <w:lvlText w:val="·"/>
      <w:lvlJc w:val="left"/>
      <w:pPr>
        <w:ind w:left="320" w:hanging="220"/>
      </w:pPr>
      <w:rPr>
        <w:rFonts w:ascii="Helvetica" w:eastAsia="Helvetica" w:hAnsi="Helvetica" w:cs="Helvetica"/>
        <w:b/>
        <w:bCs/>
        <w:color w:val="002FA7"/>
        <w:sz w:val="24"/>
        <w:szCs w:val="24"/>
      </w:rPr>
    </w:lvl>
    <w:lvl w:ilvl="1" w:tplc="26366D86">
      <w:numFmt w:val="decimal"/>
      <w:lvlText w:val=""/>
      <w:lvlJc w:val="left"/>
    </w:lvl>
    <w:lvl w:ilvl="2" w:tplc="15BC0A78">
      <w:numFmt w:val="decimal"/>
      <w:lvlText w:val=""/>
      <w:lvlJc w:val="left"/>
    </w:lvl>
    <w:lvl w:ilvl="3" w:tplc="FF02B4B8">
      <w:numFmt w:val="decimal"/>
      <w:lvlText w:val=""/>
      <w:lvlJc w:val="left"/>
    </w:lvl>
    <w:lvl w:ilvl="4" w:tplc="94EC96B8">
      <w:numFmt w:val="decimal"/>
      <w:lvlText w:val=""/>
      <w:lvlJc w:val="left"/>
    </w:lvl>
    <w:lvl w:ilvl="5" w:tplc="B4628272">
      <w:numFmt w:val="decimal"/>
      <w:lvlText w:val=""/>
      <w:lvlJc w:val="left"/>
    </w:lvl>
    <w:lvl w:ilvl="6" w:tplc="C6425E90">
      <w:numFmt w:val="decimal"/>
      <w:lvlText w:val=""/>
      <w:lvlJc w:val="left"/>
    </w:lvl>
    <w:lvl w:ilvl="7" w:tplc="57863E04">
      <w:numFmt w:val="decimal"/>
      <w:lvlText w:val=""/>
      <w:lvlJc w:val="left"/>
    </w:lvl>
    <w:lvl w:ilvl="8" w:tplc="8A9E7122">
      <w:numFmt w:val="decimal"/>
      <w:lvlText w:val=""/>
      <w:lvlJc w:val="left"/>
    </w:lvl>
  </w:abstractNum>
  <w:abstractNum w:abstractNumId="3" w15:restartNumberingAfterBreak="0">
    <w:nsid w:val="62CA2BA1"/>
    <w:multiLevelType w:val="hybridMultilevel"/>
    <w:tmpl w:val="CF9076C6"/>
    <w:lvl w:ilvl="0" w:tplc="1700BAEC">
      <w:start w:val="1"/>
      <w:numFmt w:val="bullet"/>
      <w:lvlText w:val="–"/>
      <w:lvlJc w:val="left"/>
      <w:pPr>
        <w:ind w:left="360" w:hanging="240"/>
      </w:pPr>
      <w:rPr>
        <w:rFonts w:ascii="Helvetica" w:eastAsia="Helvetica" w:hAnsi="Helvetica" w:cs="Helvetica"/>
        <w:color w:val="555555"/>
        <w:sz w:val="15"/>
        <w:szCs w:val="15"/>
      </w:rPr>
    </w:lvl>
    <w:lvl w:ilvl="1" w:tplc="73DE834E">
      <w:numFmt w:val="decimal"/>
      <w:lvlText w:val=""/>
      <w:lvlJc w:val="left"/>
    </w:lvl>
    <w:lvl w:ilvl="2" w:tplc="B8A65DF6">
      <w:numFmt w:val="decimal"/>
      <w:lvlText w:val=""/>
      <w:lvlJc w:val="left"/>
    </w:lvl>
    <w:lvl w:ilvl="3" w:tplc="FBE88306">
      <w:numFmt w:val="decimal"/>
      <w:lvlText w:val=""/>
      <w:lvlJc w:val="left"/>
    </w:lvl>
    <w:lvl w:ilvl="4" w:tplc="DEB673FC">
      <w:numFmt w:val="decimal"/>
      <w:lvlText w:val=""/>
      <w:lvlJc w:val="left"/>
    </w:lvl>
    <w:lvl w:ilvl="5" w:tplc="0AB88250">
      <w:numFmt w:val="decimal"/>
      <w:lvlText w:val=""/>
      <w:lvlJc w:val="left"/>
    </w:lvl>
    <w:lvl w:ilvl="6" w:tplc="A0FC82C0">
      <w:numFmt w:val="decimal"/>
      <w:lvlText w:val=""/>
      <w:lvlJc w:val="left"/>
    </w:lvl>
    <w:lvl w:ilvl="7" w:tplc="93906FEA">
      <w:numFmt w:val="decimal"/>
      <w:lvlText w:val=""/>
      <w:lvlJc w:val="left"/>
    </w:lvl>
    <w:lvl w:ilvl="8" w:tplc="F1CA7F9C">
      <w:numFmt w:val="decimal"/>
      <w:lvlText w:val=""/>
      <w:lvlJc w:val="left"/>
    </w:lvl>
  </w:abstractNum>
  <w:num w:numId="1" w16cid:durableId="220873776">
    <w:abstractNumId w:val="1"/>
    <w:lvlOverride w:ilvl="0">
      <w:startOverride w:val="1"/>
    </w:lvlOverride>
  </w:num>
  <w:num w:numId="2" w16cid:durableId="595863252">
    <w:abstractNumId w:val="3"/>
    <w:lvlOverride w:ilvl="0">
      <w:startOverride w:val="1"/>
    </w:lvlOverride>
  </w:num>
  <w:num w:numId="3" w16cid:durableId="1157065866">
    <w:abstractNumId w:val="2"/>
    <w:lvlOverride w:ilvl="0">
      <w:startOverride w:val="1"/>
    </w:lvlOverride>
  </w:num>
  <w:num w:numId="4" w16cid:durableId="1213276319">
    <w:abstractNumId w:val="0"/>
    <w:lvlOverride w:ilvl="0">
      <w:startOverride w:val="1"/>
    </w:lvlOverride>
  </w:num>
  <w:num w:numId="5" w16cid:durableId="756093002">
    <w:abstractNumId w:val="3"/>
  </w:num>
  <w:num w:numId="6" w16cid:durableId="75543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2C"/>
    <w:rsid w:val="0001638A"/>
    <w:rsid w:val="00016B85"/>
    <w:rsid w:val="000C610E"/>
    <w:rsid w:val="000E172C"/>
    <w:rsid w:val="0015311F"/>
    <w:rsid w:val="00214F1A"/>
    <w:rsid w:val="00312358"/>
    <w:rsid w:val="003C5CB0"/>
    <w:rsid w:val="004A730F"/>
    <w:rsid w:val="004F1075"/>
    <w:rsid w:val="00520B65"/>
    <w:rsid w:val="006341DB"/>
    <w:rsid w:val="00773D29"/>
    <w:rsid w:val="00775274"/>
    <w:rsid w:val="00776466"/>
    <w:rsid w:val="009559D4"/>
    <w:rsid w:val="009D5C0C"/>
    <w:rsid w:val="009E4003"/>
    <w:rsid w:val="00A66A80"/>
    <w:rsid w:val="00B20B5B"/>
    <w:rsid w:val="00B560F0"/>
    <w:rsid w:val="00BD7427"/>
    <w:rsid w:val="00CD5067"/>
    <w:rsid w:val="00DE5FB6"/>
    <w:rsid w:val="00DF2D2A"/>
    <w:rsid w:val="00EB2FA6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6E261"/>
  <w15:docId w15:val="{F441F035-556F-7D42-AE04-DC8075B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18"/>
        <w:szCs w:val="1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60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Jack Haydon</cp:lastModifiedBy>
  <cp:revision>14</cp:revision>
  <dcterms:created xsi:type="dcterms:W3CDTF">2026-05-29T10:24:00Z</dcterms:created>
  <dcterms:modified xsi:type="dcterms:W3CDTF">2026-06-02T15:25:00Z</dcterms:modified>
</cp:coreProperties>
</file>